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CE" w:rsidRPr="00800A01" w:rsidRDefault="00A736CE" w:rsidP="00A736CE">
      <w:pPr>
        <w:spacing w:after="0" w:line="240" w:lineRule="auto"/>
        <w:jc w:val="right"/>
        <w:rPr>
          <w:kern w:val="1"/>
          <w:sz w:val="24"/>
          <w:szCs w:val="24"/>
          <w:lang w:eastAsia="ar-SA"/>
        </w:rPr>
      </w:pPr>
      <w:r w:rsidRPr="00800A01">
        <w:rPr>
          <w:kern w:val="1"/>
          <w:sz w:val="24"/>
          <w:szCs w:val="24"/>
          <w:lang w:eastAsia="ar-SA"/>
        </w:rPr>
        <w:t>Приложение</w:t>
      </w:r>
      <w:r w:rsidRPr="00800A01">
        <w:rPr>
          <w:kern w:val="1"/>
          <w:sz w:val="24"/>
          <w:szCs w:val="24"/>
          <w:lang w:val="de-DE" w:eastAsia="ar-SA"/>
        </w:rPr>
        <w:t xml:space="preserve"> №</w:t>
      </w:r>
      <w:r w:rsidRPr="00800A01">
        <w:rPr>
          <w:kern w:val="1"/>
          <w:sz w:val="24"/>
          <w:szCs w:val="24"/>
          <w:lang w:eastAsia="ar-SA"/>
        </w:rPr>
        <w:t>2</w:t>
      </w:r>
    </w:p>
    <w:p w:rsidR="00A736CE" w:rsidRPr="00800A01" w:rsidRDefault="00A736CE" w:rsidP="00A736CE">
      <w:pPr>
        <w:spacing w:after="0" w:line="240" w:lineRule="auto"/>
        <w:ind w:left="4248"/>
        <w:jc w:val="right"/>
        <w:rPr>
          <w:kern w:val="1"/>
          <w:sz w:val="24"/>
          <w:szCs w:val="24"/>
          <w:lang w:eastAsia="ar-SA"/>
        </w:rPr>
      </w:pPr>
      <w:r w:rsidRPr="00800A01">
        <w:rPr>
          <w:kern w:val="1"/>
          <w:sz w:val="24"/>
          <w:szCs w:val="24"/>
          <w:lang w:val="de-DE" w:eastAsia="ar-SA"/>
        </w:rPr>
        <w:t xml:space="preserve">к </w:t>
      </w:r>
      <w:r w:rsidRPr="00800A01">
        <w:rPr>
          <w:kern w:val="1"/>
          <w:sz w:val="24"/>
          <w:szCs w:val="24"/>
          <w:lang w:eastAsia="ar-SA"/>
        </w:rPr>
        <w:t>Контракту №</w:t>
      </w:r>
      <w:r w:rsidR="00D107D4" w:rsidRPr="00800A01">
        <w:rPr>
          <w:kern w:val="1"/>
          <w:sz w:val="24"/>
          <w:szCs w:val="24"/>
          <w:lang w:eastAsia="ar-SA"/>
        </w:rPr>
        <w:t xml:space="preserve"> </w:t>
      </w:r>
      <w:r w:rsidR="002D1896">
        <w:rPr>
          <w:kern w:val="1"/>
          <w:sz w:val="24"/>
          <w:szCs w:val="24"/>
          <w:lang w:eastAsia="ar-SA"/>
        </w:rPr>
        <w:t>__________</w:t>
      </w:r>
      <w:r w:rsidRPr="00800A01">
        <w:rPr>
          <w:kern w:val="1"/>
          <w:sz w:val="24"/>
          <w:szCs w:val="24"/>
          <w:lang w:eastAsia="ar-SA"/>
        </w:rPr>
        <w:t xml:space="preserve">  </w:t>
      </w:r>
    </w:p>
    <w:p w:rsidR="00A736CE" w:rsidRPr="00800A01" w:rsidRDefault="00A736CE" w:rsidP="00A736CE">
      <w:pPr>
        <w:spacing w:after="0" w:line="240" w:lineRule="auto"/>
        <w:ind w:left="4248"/>
        <w:jc w:val="right"/>
        <w:rPr>
          <w:kern w:val="1"/>
          <w:sz w:val="24"/>
          <w:szCs w:val="24"/>
          <w:lang w:val="de-DE" w:eastAsia="ar-SA"/>
        </w:rPr>
      </w:pPr>
      <w:r w:rsidRPr="00800A01">
        <w:rPr>
          <w:kern w:val="1"/>
          <w:sz w:val="24"/>
          <w:szCs w:val="24"/>
          <w:lang w:eastAsia="ar-SA"/>
        </w:rPr>
        <w:t xml:space="preserve">от </w:t>
      </w:r>
      <w:r w:rsidRPr="00800A01">
        <w:rPr>
          <w:bCs/>
          <w:color w:val="000000"/>
          <w:kern w:val="1"/>
          <w:sz w:val="24"/>
          <w:szCs w:val="24"/>
          <w:lang w:val="de-DE" w:eastAsia="ar-SA"/>
        </w:rPr>
        <w:t>«</w:t>
      </w:r>
      <w:r w:rsidR="002D1896">
        <w:rPr>
          <w:bCs/>
          <w:color w:val="000000"/>
          <w:kern w:val="1"/>
          <w:sz w:val="24"/>
          <w:szCs w:val="24"/>
          <w:lang w:eastAsia="ar-SA"/>
        </w:rPr>
        <w:t>_____</w:t>
      </w:r>
      <w:r w:rsidRPr="00800A01">
        <w:rPr>
          <w:bCs/>
          <w:color w:val="000000"/>
          <w:kern w:val="1"/>
          <w:sz w:val="24"/>
          <w:szCs w:val="24"/>
          <w:lang w:val="de-DE" w:eastAsia="ar-SA"/>
        </w:rPr>
        <w:t xml:space="preserve">» </w:t>
      </w:r>
      <w:r w:rsidR="002D1896">
        <w:rPr>
          <w:bCs/>
          <w:color w:val="000000"/>
          <w:kern w:val="1"/>
          <w:sz w:val="24"/>
          <w:szCs w:val="24"/>
          <w:lang w:eastAsia="ar-SA"/>
        </w:rPr>
        <w:t xml:space="preserve">________2024 г. </w:t>
      </w:r>
    </w:p>
    <w:p w:rsidR="00A736CE" w:rsidRPr="00800A01" w:rsidRDefault="00A736CE" w:rsidP="00A736CE">
      <w:pPr>
        <w:spacing w:after="120"/>
        <w:rPr>
          <w:b/>
          <w:sz w:val="24"/>
          <w:szCs w:val="24"/>
        </w:rPr>
      </w:pPr>
    </w:p>
    <w:p w:rsidR="00DA5355" w:rsidRPr="00800A01" w:rsidRDefault="00DA5355" w:rsidP="00DA5355">
      <w:pPr>
        <w:spacing w:after="120"/>
        <w:jc w:val="center"/>
        <w:rPr>
          <w:b/>
          <w:sz w:val="24"/>
          <w:szCs w:val="24"/>
        </w:rPr>
      </w:pPr>
      <w:r w:rsidRPr="00800A01">
        <w:rPr>
          <w:b/>
          <w:sz w:val="24"/>
          <w:szCs w:val="24"/>
        </w:rPr>
        <w:t>ТЕХНИЧЕСКОЕ ЗАДАНИЕ</w:t>
      </w:r>
    </w:p>
    <w:p w:rsidR="00DA5355" w:rsidRPr="00800A01" w:rsidRDefault="00DA5355" w:rsidP="00DA5355">
      <w:pPr>
        <w:spacing w:after="120"/>
        <w:jc w:val="center"/>
        <w:rPr>
          <w:b/>
          <w:sz w:val="24"/>
          <w:szCs w:val="24"/>
        </w:rPr>
      </w:pPr>
      <w:r w:rsidRPr="00800A01">
        <w:rPr>
          <w:b/>
          <w:bCs/>
          <w:sz w:val="24"/>
          <w:szCs w:val="24"/>
        </w:rPr>
        <w:t xml:space="preserve">поставка </w:t>
      </w:r>
      <w:r w:rsidR="00E12036">
        <w:rPr>
          <w:b/>
          <w:sz w:val="24"/>
          <w:szCs w:val="24"/>
        </w:rPr>
        <w:t>красок, колеров и скотчей</w:t>
      </w:r>
      <w:r w:rsidR="00A736CE" w:rsidRPr="00800A01">
        <w:rPr>
          <w:b/>
          <w:sz w:val="24"/>
          <w:szCs w:val="24"/>
        </w:rPr>
        <w:t xml:space="preserve"> </w:t>
      </w:r>
      <w:r w:rsidRPr="00800A01">
        <w:rPr>
          <w:b/>
          <w:sz w:val="24"/>
          <w:szCs w:val="24"/>
        </w:rPr>
        <w:t>для нужд ГБОУ СК «СОШ №3».</w:t>
      </w:r>
    </w:p>
    <w:p w:rsidR="00A736CE" w:rsidRPr="00800A01" w:rsidRDefault="00DA5355" w:rsidP="00A736CE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00A0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A736CE" w:rsidRPr="00800A01">
        <w:rPr>
          <w:rFonts w:ascii="Times New Roman" w:hAnsi="Times New Roman" w:cs="Times New Roman"/>
          <w:sz w:val="24"/>
          <w:szCs w:val="24"/>
        </w:rPr>
        <w:t xml:space="preserve">: </w:t>
      </w:r>
      <w:r w:rsidRPr="00800A01">
        <w:rPr>
          <w:rFonts w:ascii="Times New Roman" w:hAnsi="Times New Roman" w:cs="Times New Roman"/>
          <w:sz w:val="24"/>
          <w:szCs w:val="24"/>
        </w:rPr>
        <w:t>Г</w:t>
      </w:r>
      <w:r w:rsidR="00A736CE" w:rsidRPr="00800A01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Ставропольского края «Средняя общеобразовательная школа №3»</w:t>
      </w:r>
    </w:p>
    <w:p w:rsidR="00DA5355" w:rsidRPr="00800A01" w:rsidRDefault="00DA5355" w:rsidP="00DA5355">
      <w:pPr>
        <w:pStyle w:val="a3"/>
        <w:widowControl w:val="0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0A01">
        <w:rPr>
          <w:rFonts w:ascii="Times New Roman" w:hAnsi="Times New Roman" w:cs="Times New Roman"/>
          <w:b/>
          <w:sz w:val="24"/>
          <w:szCs w:val="24"/>
        </w:rPr>
        <w:t>Предмет закупки</w:t>
      </w:r>
      <w:r w:rsidR="00A736CE" w:rsidRPr="00800A01">
        <w:rPr>
          <w:rFonts w:ascii="Times New Roman" w:hAnsi="Times New Roman" w:cs="Times New Roman"/>
          <w:sz w:val="24"/>
          <w:szCs w:val="24"/>
        </w:rPr>
        <w:t>:</w:t>
      </w:r>
      <w:r w:rsidRPr="00800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A01">
        <w:rPr>
          <w:rFonts w:ascii="Times New Roman" w:hAnsi="Times New Roman" w:cs="Times New Roman"/>
          <w:bCs/>
          <w:sz w:val="24"/>
          <w:szCs w:val="24"/>
        </w:rPr>
        <w:t xml:space="preserve">поставка </w:t>
      </w:r>
      <w:r w:rsidR="00E12036">
        <w:rPr>
          <w:rFonts w:ascii="Times New Roman" w:hAnsi="Times New Roman" w:cs="Times New Roman"/>
          <w:sz w:val="24"/>
          <w:szCs w:val="24"/>
        </w:rPr>
        <w:t>красок, колеров и скотчей малярных</w:t>
      </w:r>
      <w:r w:rsidRPr="00800A01">
        <w:rPr>
          <w:rFonts w:ascii="Times New Roman" w:hAnsi="Times New Roman" w:cs="Times New Roman"/>
          <w:sz w:val="24"/>
          <w:szCs w:val="24"/>
        </w:rPr>
        <w:t xml:space="preserve"> (далее – товар) в соответствии с п.</w:t>
      </w:r>
      <w:r w:rsidRPr="00800A01">
        <w:rPr>
          <w:rFonts w:ascii="Times New Roman" w:hAnsi="Times New Roman" w:cs="Times New Roman"/>
          <w:b/>
          <w:sz w:val="24"/>
          <w:szCs w:val="24"/>
        </w:rPr>
        <w:t>4</w:t>
      </w:r>
      <w:r w:rsidRPr="00800A01">
        <w:rPr>
          <w:rFonts w:ascii="Times New Roman" w:hAnsi="Times New Roman" w:cs="Times New Roman"/>
          <w:sz w:val="24"/>
          <w:szCs w:val="24"/>
        </w:rPr>
        <w:t xml:space="preserve"> настоящего технического задания.</w:t>
      </w:r>
    </w:p>
    <w:p w:rsidR="00DA5355" w:rsidRPr="00800A01" w:rsidRDefault="00DA5355" w:rsidP="00DA535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00A01">
        <w:rPr>
          <w:rFonts w:ascii="Times New Roman" w:hAnsi="Times New Roman" w:cs="Times New Roman"/>
          <w:b/>
          <w:color w:val="000000"/>
          <w:sz w:val="24"/>
          <w:szCs w:val="24"/>
        </w:rPr>
        <w:t>Место оказания услуг</w:t>
      </w:r>
      <w:r w:rsidRPr="00800A01">
        <w:rPr>
          <w:rFonts w:ascii="Times New Roman" w:hAnsi="Times New Roman" w:cs="Times New Roman"/>
          <w:color w:val="000000"/>
          <w:sz w:val="24"/>
          <w:szCs w:val="24"/>
        </w:rPr>
        <w:t xml:space="preserve">: Ставропольский край, Предгорный </w:t>
      </w:r>
      <w:r w:rsidR="00E12036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Pr="00800A01">
        <w:rPr>
          <w:rFonts w:ascii="Times New Roman" w:hAnsi="Times New Roman" w:cs="Times New Roman"/>
          <w:color w:val="000000"/>
          <w:sz w:val="24"/>
          <w:szCs w:val="24"/>
        </w:rPr>
        <w:t>, пос. Мирный, ул.</w:t>
      </w:r>
      <w:r w:rsidR="00E1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0A01">
        <w:rPr>
          <w:rFonts w:ascii="Times New Roman" w:hAnsi="Times New Roman" w:cs="Times New Roman"/>
          <w:color w:val="000000"/>
          <w:sz w:val="24"/>
          <w:szCs w:val="24"/>
        </w:rPr>
        <w:t>Шоссейная</w:t>
      </w:r>
      <w:proofErr w:type="gramEnd"/>
      <w:r w:rsidRPr="00800A01">
        <w:rPr>
          <w:rFonts w:ascii="Times New Roman" w:hAnsi="Times New Roman" w:cs="Times New Roman"/>
          <w:color w:val="000000"/>
          <w:sz w:val="24"/>
          <w:szCs w:val="24"/>
        </w:rPr>
        <w:t xml:space="preserve"> 17.</w:t>
      </w:r>
      <w:r w:rsidRPr="00800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355" w:rsidRDefault="00DA5355" w:rsidP="00DA5355">
      <w:pPr>
        <w:pStyle w:val="a3"/>
        <w:widowControl w:val="0"/>
        <w:numPr>
          <w:ilvl w:val="0"/>
          <w:numId w:val="1"/>
        </w:numPr>
        <w:spacing w:after="12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00A01">
        <w:rPr>
          <w:rFonts w:ascii="Times New Roman" w:hAnsi="Times New Roman" w:cs="Times New Roman"/>
          <w:b/>
          <w:sz w:val="24"/>
          <w:szCs w:val="24"/>
        </w:rPr>
        <w:t xml:space="preserve">Перечень, количество и характеристики товара: </w:t>
      </w:r>
    </w:p>
    <w:tbl>
      <w:tblPr>
        <w:tblW w:w="9649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250"/>
        <w:gridCol w:w="4270"/>
        <w:gridCol w:w="2251"/>
      </w:tblGrid>
      <w:tr w:rsidR="008B466F" w:rsidRPr="008B466F" w:rsidTr="00C264E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sz w:val="24"/>
                <w:szCs w:val="24"/>
                <w:lang w:val="en-US" w:eastAsia="ru-RU"/>
              </w:rPr>
              <w:t xml:space="preserve">N </w:t>
            </w:r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Характеристики товара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66F" w:rsidRPr="008B466F" w:rsidTr="00C264EB">
        <w:trPr>
          <w:trHeight w:val="5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66F" w:rsidRPr="008B466F" w:rsidRDefault="008B466F" w:rsidP="008B466F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Краска PARADE W 100  латекс 9  л база</w:t>
            </w:r>
            <w:proofErr w:type="gramStart"/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краска интерьерная латексная;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акриловая </w:t>
            </w:r>
            <w:proofErr w:type="spellStart"/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воднодисперсионная</w:t>
            </w:r>
            <w:proofErr w:type="spellEnd"/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белая матовая;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образует прочное матовое влагостойкое паропроницаемое покрытие, выдерживающее частую влажную уборку;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устойчивость к влажному истиранию: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3 класс по DIN EN 13300;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обладает высокими декоративными свойствами, </w:t>
            </w:r>
            <w:proofErr w:type="gramStart"/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отличной</w:t>
            </w:r>
            <w:proofErr w:type="gramEnd"/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укрывистостью</w:t>
            </w:r>
            <w:proofErr w:type="spellEnd"/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и прочным сцеплением с основанием;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сертифицирована</w:t>
            </w:r>
            <w:proofErr w:type="gramEnd"/>
            <w:r w:rsidRPr="008B466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для применения в детских и лечебных учреждениях;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E62F95">
              <w:rPr>
                <w:rFonts w:eastAsiaTheme="minorEastAsi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ACAFC7" wp14:editId="0BE0467A">
                  <wp:extent cx="1200150" cy="1000125"/>
                  <wp:effectExtent l="0" t="0" r="0" b="0"/>
                  <wp:docPr id="3" name="Рисунок 3" descr="C:\Users\6\AppData\Local\Microsoft\Windows\INetCache\Content.Word\53760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\AppData\Local\Microsoft\Windows\INetCache\Content.Word\53760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66F" w:rsidRPr="008B466F" w:rsidTr="00C264E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66F" w:rsidRPr="008B466F" w:rsidRDefault="008B466F" w:rsidP="008B466F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 xml:space="preserve">Колер </w:t>
            </w:r>
            <w:proofErr w:type="spellStart"/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Лакра</w:t>
            </w:r>
            <w:proofErr w:type="spellEnd"/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 xml:space="preserve"> № 01 Темно-</w:t>
            </w:r>
            <w:proofErr w:type="spellStart"/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корич</w:t>
            </w:r>
            <w:proofErr w:type="spellEnd"/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. 100 г.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Тип колер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  <w:hyperlink r:id="rId7" w:history="1">
              <w:r w:rsidRPr="00E62F95">
                <w:rPr>
                  <w:sz w:val="24"/>
                  <w:szCs w:val="24"/>
                  <w:lang w:eastAsia="ru-RU"/>
                </w:rPr>
                <w:t>коричневый</w:t>
              </w:r>
            </w:hyperlink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Оттенок темно-коричневый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Использование в чистом виде нет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Для внутренних работ да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Для наружных работ да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Светостойкость, баллы 7-8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Морозостойкость да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Вид тары пластиковая банка</w:t>
            </w:r>
          </w:p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Объем 0.1 л</w:t>
            </w:r>
            <w:r w:rsidR="00C264EB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B466F">
              <w:rPr>
                <w:color w:val="000000"/>
                <w:sz w:val="24"/>
                <w:szCs w:val="24"/>
                <w:lang w:eastAsia="ru-RU"/>
              </w:rPr>
              <w:t>Вес нетто  0.105 кг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E62F95">
              <w:rPr>
                <w:rFonts w:eastAsiaTheme="minorEastAsi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5A5D365" wp14:editId="65AB7ED0">
                  <wp:extent cx="1204595" cy="946785"/>
                  <wp:effectExtent l="0" t="0" r="0" b="0"/>
                  <wp:docPr id="2" name="Рисунок 2" descr="C:\Users\6\AppData\Local\Microsoft\Windows\INetCache\Content.Word\6646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6\AppData\Local\Microsoft\Windows\INetCache\Content.Word\6646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66F" w:rsidRPr="008B466F" w:rsidTr="00C264EB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62F95"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66F" w:rsidRPr="008B466F" w:rsidRDefault="008B466F" w:rsidP="008B466F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 xml:space="preserve">Скотч </w:t>
            </w:r>
            <w:proofErr w:type="spellStart"/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малярн</w:t>
            </w:r>
            <w:proofErr w:type="spellEnd"/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 xml:space="preserve">. 48мм*70м </w:t>
            </w:r>
            <w:proofErr w:type="spellStart"/>
            <w:r w:rsidRPr="008B466F">
              <w:rPr>
                <w:rFonts w:eastAsiaTheme="minorEastAsia"/>
                <w:sz w:val="24"/>
                <w:szCs w:val="24"/>
                <w:lang w:eastAsia="ru-RU"/>
              </w:rPr>
              <w:t>Beltex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6F">
              <w:rPr>
                <w:color w:val="000000"/>
                <w:sz w:val="24"/>
                <w:szCs w:val="24"/>
                <w:lang w:eastAsia="ru-RU"/>
              </w:rPr>
              <w:t>Клейкая лента (Скотч) малярная представляет собой клейкую ленту на бумажной основе с одной стороны, на которую нанесен синтетический каучуковый клеевой слой. Клеевой состав подобран таким образом, чтобы после удаления ленты не оставалось следа. Используется для разделения окрашиваемой поверхности при проведении малярных работ</w:t>
            </w:r>
            <w:proofErr w:type="gramStart"/>
            <w:r w:rsidRPr="008B466F">
              <w:rPr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B466F">
              <w:rPr>
                <w:color w:val="000000"/>
                <w:sz w:val="24"/>
                <w:szCs w:val="24"/>
                <w:lang w:eastAsia="ru-RU"/>
              </w:rPr>
              <w:t>Ширина 48 мм, длина 70 метров.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F" w:rsidRPr="008B466F" w:rsidRDefault="008B466F" w:rsidP="008B466F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E62F95">
              <w:rPr>
                <w:rFonts w:eastAsiaTheme="minorEastAsia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F76EF0" wp14:editId="1267BAD1">
                  <wp:extent cx="1151255" cy="1021715"/>
                  <wp:effectExtent l="0" t="0" r="0" b="0"/>
                  <wp:docPr id="1" name="Рисунок 1" descr="C:\Users\6\AppData\Local\Microsoft\Windows\INetCache\Content.Word\маля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6\AppData\Local\Microsoft\Windows\INetCache\Content.Word\маля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66F" w:rsidRPr="00C264EB" w:rsidRDefault="008B466F" w:rsidP="00C264EB">
      <w:pPr>
        <w:widowControl w:val="0"/>
        <w:spacing w:after="120" w:line="0" w:lineRule="atLeast"/>
        <w:rPr>
          <w:b/>
          <w:sz w:val="24"/>
          <w:szCs w:val="24"/>
        </w:rPr>
      </w:pPr>
    </w:p>
    <w:p w:rsidR="00DA5355" w:rsidRPr="00C264EB" w:rsidRDefault="00DA5355" w:rsidP="00C264EB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EB">
        <w:rPr>
          <w:rFonts w:ascii="Times New Roman" w:eastAsia="Calibri" w:hAnsi="Times New Roman" w:cs="Times New Roman"/>
          <w:b/>
          <w:sz w:val="24"/>
          <w:szCs w:val="24"/>
        </w:rPr>
        <w:t>Общие требования к поставке товаров</w:t>
      </w:r>
      <w:r w:rsidRPr="00C264EB">
        <w:rPr>
          <w:rFonts w:ascii="Times New Roman" w:hAnsi="Times New Roman" w:cs="Times New Roman"/>
          <w:b/>
          <w:sz w:val="24"/>
          <w:szCs w:val="24"/>
        </w:rPr>
        <w:t>:</w:t>
      </w:r>
    </w:p>
    <w:p w:rsidR="00C264EB" w:rsidRDefault="00631885" w:rsidP="00631885">
      <w:pPr>
        <w:pStyle w:val="a3"/>
        <w:spacing w:after="0"/>
        <w:ind w:left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DA5355" w:rsidRPr="00C264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т.д.). </w:t>
      </w:r>
    </w:p>
    <w:p w:rsidR="00DA5355" w:rsidRPr="00800A01" w:rsidRDefault="00631885" w:rsidP="0063188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5355" w:rsidRPr="00800A01">
        <w:rPr>
          <w:rFonts w:ascii="Times New Roman" w:hAnsi="Times New Roman" w:cs="Times New Roman"/>
          <w:sz w:val="24"/>
          <w:szCs w:val="24"/>
        </w:rPr>
        <w:t>Информация о продукции, в том числе маркировка на упаковке, должна быть на русском языке или продублирована на русском языке. Маркировка должна содержать сведения о товаре: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международными стандартами и требованиями ГОСТ.</w:t>
      </w:r>
    </w:p>
    <w:p w:rsidR="00DA5355" w:rsidRPr="00800A01" w:rsidRDefault="00631885" w:rsidP="0063188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355" w:rsidRPr="00800A01">
        <w:rPr>
          <w:rFonts w:ascii="Times New Roman" w:hAnsi="Times New Roman" w:cs="Times New Roman"/>
          <w:sz w:val="24"/>
          <w:szCs w:val="24"/>
        </w:rPr>
        <w:t xml:space="preserve">Товар каждой отдельной группы должен иметь одинаковые: марку, модель, эксплуатационные характеристики и страну производства. </w:t>
      </w:r>
    </w:p>
    <w:p w:rsidR="00DA5355" w:rsidRPr="00800A01" w:rsidRDefault="00631885" w:rsidP="00631885">
      <w:pPr>
        <w:pStyle w:val="a3"/>
        <w:spacing w:after="0"/>
        <w:ind w:left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A5355" w:rsidRPr="00800A01">
        <w:rPr>
          <w:rStyle w:val="a5"/>
          <w:rFonts w:ascii="Times New Roman" w:hAnsi="Times New Roman" w:cs="Times New Roman"/>
          <w:b w:val="0"/>
          <w:sz w:val="24"/>
          <w:szCs w:val="24"/>
        </w:rPr>
        <w:t>Товар должен быть новым, не бывшим в употреблении, не восстановленным, не содержать восстановленных элементов.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поставляемого товара.</w:t>
      </w:r>
    </w:p>
    <w:p w:rsidR="00DA5355" w:rsidRPr="00800A01" w:rsidRDefault="00631885" w:rsidP="006318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355" w:rsidRPr="00800A01">
        <w:rPr>
          <w:rFonts w:ascii="Times New Roman" w:hAnsi="Times New Roman" w:cs="Times New Roman"/>
          <w:sz w:val="24"/>
          <w:szCs w:val="24"/>
        </w:rPr>
        <w:t>За повреждения товара в поставке, которые являются следствием ненадлежащей упаковки, ответственность несет Поставщик</w:t>
      </w:r>
      <w:proofErr w:type="gramStart"/>
      <w:r w:rsidR="00DA5355" w:rsidRPr="00800A0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86171" w:rsidRDefault="00631885" w:rsidP="0063188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355" w:rsidRPr="00800A01">
        <w:rPr>
          <w:rFonts w:ascii="Times New Roman" w:hAnsi="Times New Roman" w:cs="Times New Roman"/>
          <w:sz w:val="24"/>
          <w:szCs w:val="24"/>
        </w:rPr>
        <w:t xml:space="preserve">Соответствие предлагаемого к поставке товара в полном объеме российским стандартам, принятым для данного вида товаров с подтверждением соответствующими сертификатами. </w:t>
      </w:r>
    </w:p>
    <w:p w:rsidR="00C264EB" w:rsidRPr="00C264EB" w:rsidRDefault="00C264EB" w:rsidP="00C264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188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C264EB">
        <w:rPr>
          <w:sz w:val="24"/>
          <w:szCs w:val="24"/>
        </w:rPr>
        <w:t>Поставщик гарантирует качество и надежность поставляемого товара в течение всего срока годности, установленного на товар, при условии соблюдения заказчиком условий хранения (соблюдение температурного режима и т. д.).</w:t>
      </w:r>
    </w:p>
    <w:p w:rsidR="00C264EB" w:rsidRPr="00C264EB" w:rsidRDefault="00C264EB" w:rsidP="00C264EB">
      <w:pPr>
        <w:spacing w:after="0"/>
        <w:jc w:val="both"/>
        <w:rPr>
          <w:sz w:val="24"/>
          <w:szCs w:val="24"/>
        </w:rPr>
      </w:pPr>
      <w:r w:rsidRPr="00C264EB">
        <w:rPr>
          <w:sz w:val="24"/>
          <w:szCs w:val="24"/>
        </w:rPr>
        <w:t xml:space="preserve">            Поставщик гарантирует качество и безопасность поставляемого товара в соответствии с действующими стандартами, ГОСТ, ТУ завода-изготовителя, </w:t>
      </w:r>
      <w:proofErr w:type="gramStart"/>
      <w:r w:rsidRPr="00C264EB">
        <w:rPr>
          <w:sz w:val="24"/>
          <w:szCs w:val="24"/>
        </w:rPr>
        <w:t>действующим</w:t>
      </w:r>
      <w:proofErr w:type="gramEnd"/>
      <w:r w:rsidRPr="00C264EB">
        <w:rPr>
          <w:sz w:val="24"/>
          <w:szCs w:val="24"/>
        </w:rPr>
        <w:t xml:space="preserve"> на момент поставки товара. </w:t>
      </w:r>
    </w:p>
    <w:p w:rsidR="00C264EB" w:rsidRPr="00C264EB" w:rsidRDefault="00631885" w:rsidP="00C264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64EB" w:rsidRPr="00C264EB">
        <w:rPr>
          <w:sz w:val="24"/>
          <w:szCs w:val="24"/>
        </w:rPr>
        <w:t>Одновременно с товаром поставщик обязан передать заказчику надлежащим образом оформленные документы: товарную/товарно-транспортную накладные, счет/счет-фактуру, документы, подтверждающие качество товара.</w:t>
      </w:r>
    </w:p>
    <w:p w:rsidR="00C264EB" w:rsidRPr="00C264EB" w:rsidRDefault="00C264EB" w:rsidP="00C264EB">
      <w:pPr>
        <w:spacing w:after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68"/>
        <w:tblW w:w="10091" w:type="dxa"/>
        <w:tblLayout w:type="fixed"/>
        <w:tblLook w:val="0000" w:firstRow="0" w:lastRow="0" w:firstColumn="0" w:lastColumn="0" w:noHBand="0" w:noVBand="0"/>
      </w:tblPr>
      <w:tblGrid>
        <w:gridCol w:w="5420"/>
        <w:gridCol w:w="4671"/>
      </w:tblGrid>
      <w:tr w:rsidR="00B86171" w:rsidRPr="00800A01" w:rsidTr="00C062AE">
        <w:trPr>
          <w:trHeight w:val="3398"/>
        </w:trPr>
        <w:tc>
          <w:tcPr>
            <w:tcW w:w="5420" w:type="dxa"/>
            <w:shd w:val="clear" w:color="auto" w:fill="auto"/>
          </w:tcPr>
          <w:p w:rsidR="00B86171" w:rsidRPr="00800A01" w:rsidRDefault="00B86171" w:rsidP="00B86171">
            <w:pPr>
              <w:spacing w:after="12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B86171" w:rsidP="00D107D4">
            <w:pPr>
              <w:spacing w:after="120" w:line="240" w:lineRule="auto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D107D4" w:rsidP="00D107D4">
            <w:pPr>
              <w:spacing w:after="120" w:line="240" w:lineRule="auto"/>
              <w:rPr>
                <w:rFonts w:eastAsia="Calibri"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800A01">
              <w:rPr>
                <w:b/>
                <w:kern w:val="1"/>
                <w:sz w:val="24"/>
                <w:szCs w:val="24"/>
                <w:lang w:eastAsia="ar-SA"/>
              </w:rPr>
              <w:t xml:space="preserve">                </w:t>
            </w:r>
            <w:r w:rsidR="00B86171" w:rsidRPr="00800A01">
              <w:rPr>
                <w:b/>
                <w:kern w:val="1"/>
                <w:sz w:val="24"/>
                <w:szCs w:val="24"/>
                <w:lang w:val="de-DE" w:eastAsia="ar-SA"/>
              </w:rPr>
              <w:t>ЗАКАЗЧИК</w:t>
            </w:r>
          </w:p>
          <w:p w:rsidR="00B86171" w:rsidRPr="00800A01" w:rsidRDefault="00B86171" w:rsidP="00B86171">
            <w:pPr>
              <w:widowControl w:val="0"/>
              <w:spacing w:after="0" w:line="240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800A01">
              <w:rPr>
                <w:rFonts w:eastAsia="Calibri"/>
                <w:color w:val="000000"/>
                <w:kern w:val="1"/>
                <w:sz w:val="24"/>
                <w:szCs w:val="24"/>
                <w:lang w:eastAsia="ar-SA"/>
              </w:rPr>
              <w:t xml:space="preserve">              Директор </w:t>
            </w:r>
            <w:r w:rsidRPr="00800A01">
              <w:rPr>
                <w:kern w:val="1"/>
                <w:sz w:val="24"/>
                <w:szCs w:val="24"/>
                <w:lang w:eastAsia="ar-SA"/>
              </w:rPr>
              <w:t>ГБОУ СК «СОШ № 3»</w:t>
            </w:r>
          </w:p>
          <w:p w:rsidR="00B86171" w:rsidRPr="00800A01" w:rsidRDefault="00B86171" w:rsidP="00B86171">
            <w:pPr>
              <w:spacing w:after="0" w:line="240" w:lineRule="auto"/>
              <w:rPr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B86171" w:rsidP="00B86171">
            <w:pPr>
              <w:spacing w:after="0" w:line="240" w:lineRule="auto"/>
              <w:rPr>
                <w:rFonts w:eastAsia="Calibri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B86171" w:rsidP="00B86171">
            <w:pPr>
              <w:spacing w:after="0" w:line="240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             ___________________/</w:t>
            </w:r>
            <w:r w:rsidR="00D107D4"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>Яцына</w:t>
            </w:r>
            <w:proofErr w:type="spellEnd"/>
            <w:r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А.А.</w:t>
            </w:r>
            <w:r w:rsidR="00D107D4"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>/</w:t>
            </w:r>
          </w:p>
          <w:p w:rsidR="00B86171" w:rsidRPr="00800A01" w:rsidRDefault="00B86171" w:rsidP="00B86171">
            <w:pPr>
              <w:spacing w:after="0" w:line="240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B86171" w:rsidP="00B86171">
            <w:pPr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671" w:type="dxa"/>
            <w:shd w:val="clear" w:color="auto" w:fill="auto"/>
          </w:tcPr>
          <w:p w:rsidR="00B86171" w:rsidRPr="00800A01" w:rsidRDefault="00B86171" w:rsidP="00B86171">
            <w:pPr>
              <w:spacing w:after="12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B86171" w:rsidP="00D107D4">
            <w:pPr>
              <w:spacing w:after="120" w:line="240" w:lineRule="auto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D107D4" w:rsidP="00D107D4">
            <w:pPr>
              <w:spacing w:after="120" w:line="240" w:lineRule="auto"/>
              <w:rPr>
                <w:kern w:val="1"/>
                <w:sz w:val="24"/>
                <w:szCs w:val="24"/>
                <w:lang w:val="de-DE" w:eastAsia="ar-SA"/>
              </w:rPr>
            </w:pPr>
            <w:r w:rsidRPr="00800A01">
              <w:rPr>
                <w:b/>
                <w:kern w:val="1"/>
                <w:sz w:val="24"/>
                <w:szCs w:val="24"/>
                <w:lang w:eastAsia="ar-SA"/>
              </w:rPr>
              <w:t xml:space="preserve">         </w:t>
            </w:r>
            <w:r w:rsidR="00B86171" w:rsidRPr="00800A01">
              <w:rPr>
                <w:b/>
                <w:kern w:val="1"/>
                <w:sz w:val="24"/>
                <w:szCs w:val="24"/>
                <w:lang w:eastAsia="ar-SA"/>
              </w:rPr>
              <w:t>ПОСТАВЩИК</w:t>
            </w:r>
          </w:p>
          <w:p w:rsidR="00B86171" w:rsidRPr="00800A01" w:rsidRDefault="00D107D4" w:rsidP="00B86171">
            <w:pPr>
              <w:spacing w:after="0" w:line="240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       </w:t>
            </w:r>
          </w:p>
          <w:p w:rsidR="00B86171" w:rsidRPr="00800A01" w:rsidRDefault="00B86171" w:rsidP="00B86171">
            <w:pPr>
              <w:spacing w:after="0" w:line="240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B86171" w:rsidP="00B86171">
            <w:pPr>
              <w:spacing w:after="0" w:line="240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  </w:t>
            </w:r>
            <w:r w:rsidR="00D107D4"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    __________________/ </w:t>
            </w:r>
            <w:r w:rsidR="00C264EB">
              <w:rPr>
                <w:color w:val="000000"/>
                <w:kern w:val="1"/>
                <w:sz w:val="24"/>
                <w:szCs w:val="24"/>
                <w:lang w:eastAsia="ar-SA"/>
              </w:rPr>
              <w:t>___________</w:t>
            </w:r>
            <w:r w:rsidRPr="00800A01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/</w:t>
            </w:r>
          </w:p>
          <w:p w:rsidR="00B86171" w:rsidRPr="00800A01" w:rsidRDefault="00B86171" w:rsidP="00B86171">
            <w:pPr>
              <w:spacing w:after="0" w:line="240" w:lineRule="auto"/>
              <w:jc w:val="both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86171" w:rsidRPr="00800A01" w:rsidRDefault="00B86171" w:rsidP="00B86171">
            <w:pPr>
              <w:spacing w:after="120" w:line="240" w:lineRule="auto"/>
              <w:rPr>
                <w:kern w:val="1"/>
                <w:sz w:val="24"/>
                <w:szCs w:val="24"/>
                <w:lang w:val="de-DE" w:eastAsia="ar-SA"/>
              </w:rPr>
            </w:pPr>
            <w:r w:rsidRPr="00800A01">
              <w:rPr>
                <w:color w:val="000000"/>
                <w:kern w:val="1"/>
                <w:sz w:val="24"/>
                <w:szCs w:val="24"/>
                <w:lang w:val="de-DE" w:eastAsia="ar-SA"/>
              </w:rPr>
              <w:t xml:space="preserve">         М.П.</w:t>
            </w:r>
          </w:p>
        </w:tc>
      </w:tr>
    </w:tbl>
    <w:p w:rsidR="00C365F4" w:rsidRPr="00800A01" w:rsidRDefault="00C365F4" w:rsidP="00B86171">
      <w:pPr>
        <w:tabs>
          <w:tab w:val="left" w:pos="1067"/>
        </w:tabs>
        <w:rPr>
          <w:sz w:val="24"/>
          <w:szCs w:val="24"/>
        </w:rPr>
      </w:pPr>
      <w:bookmarkStart w:id="0" w:name="_GoBack"/>
      <w:bookmarkEnd w:id="0"/>
    </w:p>
    <w:sectPr w:rsidR="00C365F4" w:rsidRPr="00800A01" w:rsidSect="00C3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337"/>
    <w:multiLevelType w:val="hybridMultilevel"/>
    <w:tmpl w:val="865E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508ED"/>
    <w:multiLevelType w:val="hybridMultilevel"/>
    <w:tmpl w:val="BCC8F444"/>
    <w:lvl w:ilvl="0" w:tplc="A34C4886">
      <w:start w:val="5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F71F8"/>
    <w:multiLevelType w:val="hybridMultilevel"/>
    <w:tmpl w:val="120E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85A61"/>
    <w:multiLevelType w:val="hybridMultilevel"/>
    <w:tmpl w:val="1B8A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548C9"/>
    <w:multiLevelType w:val="hybridMultilevel"/>
    <w:tmpl w:val="19BE0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931B1C"/>
    <w:multiLevelType w:val="hybridMultilevel"/>
    <w:tmpl w:val="74AC4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DE28F6"/>
    <w:multiLevelType w:val="hybridMultilevel"/>
    <w:tmpl w:val="5720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A6C3D"/>
    <w:multiLevelType w:val="hybridMultilevel"/>
    <w:tmpl w:val="401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84347"/>
    <w:multiLevelType w:val="hybridMultilevel"/>
    <w:tmpl w:val="9ECC6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63A54"/>
    <w:multiLevelType w:val="hybridMultilevel"/>
    <w:tmpl w:val="78F6E9EC"/>
    <w:lvl w:ilvl="0" w:tplc="AB3CA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E9544A"/>
    <w:multiLevelType w:val="hybridMultilevel"/>
    <w:tmpl w:val="BA32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355"/>
    <w:rsid w:val="002D1896"/>
    <w:rsid w:val="003F30FE"/>
    <w:rsid w:val="005C01AF"/>
    <w:rsid w:val="00631885"/>
    <w:rsid w:val="00800A01"/>
    <w:rsid w:val="00893C94"/>
    <w:rsid w:val="008B466F"/>
    <w:rsid w:val="00A736CE"/>
    <w:rsid w:val="00B86171"/>
    <w:rsid w:val="00C264EB"/>
    <w:rsid w:val="00C365F4"/>
    <w:rsid w:val="00CA4C8F"/>
    <w:rsid w:val="00D107D4"/>
    <w:rsid w:val="00D90D53"/>
    <w:rsid w:val="00DA5355"/>
    <w:rsid w:val="00E12036"/>
    <w:rsid w:val="00E62F95"/>
    <w:rsid w:val="00E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55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55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A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A5355"/>
    <w:rPr>
      <w:b/>
      <w:bCs/>
    </w:rPr>
  </w:style>
  <w:style w:type="character" w:customStyle="1" w:styleId="FontStyle12">
    <w:name w:val="Font Style12"/>
    <w:basedOn w:val="a0"/>
    <w:rsid w:val="00DA5355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0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A0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vseinstrumenti.ru/tag-page/korichnevye-kolery-284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6</cp:lastModifiedBy>
  <cp:revision>11</cp:revision>
  <cp:lastPrinted>2023-06-21T13:24:00Z</cp:lastPrinted>
  <dcterms:created xsi:type="dcterms:W3CDTF">2023-06-07T12:30:00Z</dcterms:created>
  <dcterms:modified xsi:type="dcterms:W3CDTF">2024-04-23T09:57:00Z</dcterms:modified>
</cp:coreProperties>
</file>